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B02" w:rsidRPr="00604B02" w:rsidRDefault="00604B02" w:rsidP="00604B02">
      <w:pPr>
        <w:pStyle w:val="afa"/>
        <w:spacing w:line="240" w:lineRule="exact"/>
        <w:jc w:val="left"/>
        <w:rPr>
          <w:rFonts w:ascii="微软雅黑" w:eastAsia="微软雅黑" w:hAnsi="微软雅黑" w:cs="宋体"/>
          <w:b/>
          <w:bCs/>
          <w:color w:val="7030A0"/>
          <w:sz w:val="22"/>
          <w:szCs w:val="22"/>
        </w:rPr>
      </w:pPr>
    </w:p>
    <w:p w:rsidR="00D1633E" w:rsidRPr="00604B02" w:rsidRDefault="00D1633E" w:rsidP="00604B02">
      <w:pPr>
        <w:pStyle w:val="afa"/>
        <w:spacing w:line="600" w:lineRule="exact"/>
        <w:jc w:val="center"/>
        <w:rPr>
          <w:rFonts w:ascii="微软雅黑" w:eastAsia="微软雅黑" w:hAnsi="微软雅黑" w:cs="宋体"/>
          <w:b/>
          <w:bCs/>
          <w:color w:val="7030A0"/>
          <w:sz w:val="40"/>
          <w:szCs w:val="40"/>
        </w:rPr>
      </w:pPr>
      <w:r w:rsidRPr="00604B02">
        <w:rPr>
          <w:rFonts w:ascii="微软雅黑" w:eastAsia="微软雅黑" w:hAnsi="微软雅黑" w:cs="宋体" w:hint="eastAsia"/>
          <w:b/>
          <w:bCs/>
          <w:color w:val="7030A0"/>
          <w:sz w:val="40"/>
          <w:szCs w:val="40"/>
        </w:rPr>
        <w:t>最高人民法院  最高人民检察院</w:t>
      </w:r>
    </w:p>
    <w:p w:rsidR="00D1633E" w:rsidRPr="00604B02" w:rsidRDefault="00D1633E" w:rsidP="00604B02">
      <w:pPr>
        <w:pStyle w:val="afa"/>
        <w:spacing w:line="600" w:lineRule="exact"/>
        <w:jc w:val="center"/>
        <w:rPr>
          <w:rFonts w:ascii="微软雅黑" w:eastAsia="微软雅黑" w:hAnsi="微软雅黑" w:cs="宋体"/>
          <w:b/>
          <w:bCs/>
          <w:color w:val="7030A0"/>
          <w:sz w:val="40"/>
          <w:szCs w:val="40"/>
        </w:rPr>
      </w:pPr>
      <w:r w:rsidRPr="00604B02">
        <w:rPr>
          <w:rFonts w:ascii="微软雅黑" w:eastAsia="微软雅黑" w:hAnsi="微软雅黑" w:cs="宋体" w:hint="eastAsia"/>
          <w:b/>
          <w:bCs/>
          <w:color w:val="7030A0"/>
          <w:sz w:val="40"/>
          <w:szCs w:val="40"/>
        </w:rPr>
        <w:t>关于检察公益诉讼案件适用法律若干问题的解释</w:t>
      </w:r>
    </w:p>
    <w:p w:rsidR="00D1633E" w:rsidRDefault="00D1633E" w:rsidP="00D1633E">
      <w:pPr>
        <w:pStyle w:val="afa"/>
        <w:spacing w:line="240" w:lineRule="exact"/>
        <w:ind w:firstLineChars="200" w:firstLine="440"/>
        <w:jc w:val="center"/>
        <w:rPr>
          <w:rFonts w:ascii="微软雅黑" w:eastAsia="微软雅黑" w:hAnsi="微软雅黑" w:cs="宋体"/>
          <w:sz w:val="22"/>
          <w:szCs w:val="22"/>
        </w:rPr>
      </w:pPr>
    </w:p>
    <w:p w:rsidR="00604B02" w:rsidRDefault="00604B02" w:rsidP="00604B02">
      <w:pPr>
        <w:pStyle w:val="afa"/>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604B02" w:rsidRPr="00D050CD" w:rsidRDefault="00604B02" w:rsidP="00D1633E">
      <w:pPr>
        <w:pStyle w:val="afa"/>
        <w:spacing w:line="240" w:lineRule="exact"/>
        <w:ind w:firstLineChars="200" w:firstLine="440"/>
        <w:jc w:val="center"/>
        <w:rPr>
          <w:rFonts w:ascii="微软雅黑" w:eastAsia="微软雅黑" w:hAnsi="微软雅黑" w:cs="宋体" w:hint="eastAsia"/>
          <w:sz w:val="22"/>
          <w:szCs w:val="22"/>
        </w:rPr>
      </w:pPr>
    </w:p>
    <w:p w:rsidR="00D1633E" w:rsidRPr="00604B02" w:rsidRDefault="00D1633E" w:rsidP="00604B02">
      <w:pPr>
        <w:pStyle w:val="afa"/>
        <w:spacing w:line="240" w:lineRule="exact"/>
        <w:ind w:leftChars="200" w:left="420" w:rightChars="200" w:right="420" w:firstLineChars="200" w:firstLine="420"/>
        <w:rPr>
          <w:rFonts w:ascii="微软雅黑" w:eastAsia="微软雅黑" w:hAnsi="微软雅黑" w:cs="宋体"/>
        </w:rPr>
      </w:pPr>
      <w:r w:rsidRPr="00604B02">
        <w:rPr>
          <w:rFonts w:ascii="微软雅黑" w:eastAsia="微软雅黑" w:hAnsi="微软雅黑" w:cs="宋体" w:hint="eastAsia"/>
        </w:rPr>
        <w:t>(2018年2月23日最高人民法院审判委员会第1734次会议、2018年2月11日最高人民检察院第十二届检察委员会第73次会议通过，根据2020年12月23日最高人民法院审判委员会第1823次会议、2020年12月28日最高人民检察院第十三届检察委员会第58次会议修正）</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p>
    <w:p w:rsidR="00D1633E" w:rsidRPr="00007A1D" w:rsidRDefault="00D1633E" w:rsidP="00604B02">
      <w:pPr>
        <w:pStyle w:val="afa"/>
        <w:spacing w:line="300" w:lineRule="exact"/>
        <w:ind w:firstLineChars="200" w:firstLine="480"/>
        <w:rPr>
          <w:rFonts w:ascii="微软雅黑" w:eastAsia="微软雅黑" w:hAnsi="微软雅黑" w:cs="宋体"/>
          <w:b/>
          <w:bCs/>
          <w:color w:val="C00000"/>
          <w:sz w:val="24"/>
          <w:szCs w:val="24"/>
        </w:rPr>
      </w:pPr>
      <w:r w:rsidRPr="00007A1D">
        <w:rPr>
          <w:rFonts w:ascii="微软雅黑" w:eastAsia="微软雅黑" w:hAnsi="微软雅黑" w:cs="宋体" w:hint="eastAsia"/>
          <w:b/>
          <w:bCs/>
          <w:color w:val="C00000"/>
          <w:sz w:val="24"/>
          <w:szCs w:val="24"/>
        </w:rPr>
        <w:t>一、一般规定</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第一条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为正确适用《中华人民共和国民法典》《中华人民共和国民事诉讼法》《中华人民共和国行政诉讼法》关于人民检察院提起公益诉讼制度的规定，结合审判、检察工作实际，制定本解释。</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人民法院、人民检察院办理公益诉讼案件主要任务是充分发挥司法审判、法律监督职能作用，维护宪法法律权威，维护社会公平正义，维护国家利益和社会公共利益，督促</w:t>
      </w:r>
      <w:proofErr w:type="gramStart"/>
      <w:r w:rsidRPr="00604B02">
        <w:rPr>
          <w:rFonts w:ascii="微软雅黑" w:eastAsia="微软雅黑" w:hAnsi="微软雅黑" w:cs="宋体" w:hint="eastAsia"/>
          <w:sz w:val="24"/>
          <w:szCs w:val="24"/>
        </w:rPr>
        <w:t>适格主体</w:t>
      </w:r>
      <w:proofErr w:type="gramEnd"/>
      <w:r w:rsidRPr="00604B02">
        <w:rPr>
          <w:rFonts w:ascii="微软雅黑" w:eastAsia="微软雅黑" w:hAnsi="微软雅黑" w:cs="宋体" w:hint="eastAsia"/>
          <w:sz w:val="24"/>
          <w:szCs w:val="24"/>
        </w:rPr>
        <w:t>依法行使公益诉权，促进依法行政、严格执法。</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第三条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人民法院、人民检察院办理公益诉讼案件，应当遵守宪法法律规定，遵循诉讼制度的原则，遵循审判权、检察</w:t>
      </w:r>
      <w:proofErr w:type="gramStart"/>
      <w:r w:rsidRPr="00604B02">
        <w:rPr>
          <w:rFonts w:ascii="微软雅黑" w:eastAsia="微软雅黑" w:hAnsi="微软雅黑" w:cs="宋体" w:hint="eastAsia"/>
          <w:sz w:val="24"/>
          <w:szCs w:val="24"/>
        </w:rPr>
        <w:t>权运行</w:t>
      </w:r>
      <w:proofErr w:type="gramEnd"/>
      <w:r w:rsidRPr="00604B02">
        <w:rPr>
          <w:rFonts w:ascii="微软雅黑" w:eastAsia="微软雅黑" w:hAnsi="微软雅黑" w:cs="宋体" w:hint="eastAsia"/>
          <w:sz w:val="24"/>
          <w:szCs w:val="24"/>
        </w:rPr>
        <w:t>规律。</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第四条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人民检察院以公益诉讼起诉人身份提起公益诉讼，依照民事诉讼法、行政诉讼法享有相应的诉讼权利，履行相应的诉讼义务，但法律、司法解释另有规定的除外。</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第五条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市（分、州）人民检察院提起的第一审民事公益诉讼案件，由侵权行为地或者被告住所地中级人民法院管辖。</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基层人民检察院提起的第一审</w:t>
      </w:r>
      <w:proofErr w:type="gramStart"/>
      <w:r w:rsidRPr="00604B02">
        <w:rPr>
          <w:rFonts w:ascii="微软雅黑" w:eastAsia="微软雅黑" w:hAnsi="微软雅黑" w:cs="宋体" w:hint="eastAsia"/>
          <w:sz w:val="24"/>
          <w:szCs w:val="24"/>
        </w:rPr>
        <w:t>行政公益</w:t>
      </w:r>
      <w:proofErr w:type="gramEnd"/>
      <w:r w:rsidRPr="00604B02">
        <w:rPr>
          <w:rFonts w:ascii="微软雅黑" w:eastAsia="微软雅黑" w:hAnsi="微软雅黑" w:cs="宋体" w:hint="eastAsia"/>
          <w:sz w:val="24"/>
          <w:szCs w:val="24"/>
        </w:rPr>
        <w:t>诉讼案件，由被诉行政机关所在地基层人民法院管辖。</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第六条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人民检察院办理公益诉讼案件，可以向有关行政机关以及其他组织、公民调查收集证据材料；有关行政机关以及其他组织、公民应当配合；需要采取证据保全措施的，依照民事诉讼法、行政诉讼法相关规定办理。</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第七条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人民法院审理人民检察院提起的第一审公益诉讼案件，适用人民陪审制。</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第八条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人民法院开庭审理人民检察院提起的公益诉讼案件，应当在开庭三日前向人民检察院送达出庭通知书。</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人民检察院应当派员出庭，并应当自收到人民法院出庭通知书之日起三日内向人民法院提交派员出庭通知书。派员出庭通知书应当写明出庭人员的姓名、法律职务以及出庭履行的具体职责。</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第九条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出庭检察人员履行以下职责：</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（一）宣读公益诉讼起诉书；</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（二）对人民检察院调查收集的证据予以出示和说明，对相关证据进行质证；</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（三）参加法庭调查，进行辩论并发表意见；</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（四）依法从事其他诉讼活动。</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人民检察院不服人民法院第一审判决、裁定的，可以向上一级人民法院提起上诉。</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第十一条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人民法院审理第二审案件，由提起公益诉讼的人民检察院派员出庭，上一级人民检察院也可以派员参加。</w:t>
      </w:r>
    </w:p>
    <w:p w:rsidR="00D1633E"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第十二条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人民检察院提起公益诉讼案件判决、裁定发生法律效力，被告不履行的，人民法院应当移送执行。</w:t>
      </w:r>
    </w:p>
    <w:p w:rsidR="00007A1D" w:rsidRPr="00604B02" w:rsidRDefault="00007A1D" w:rsidP="00604B02">
      <w:pPr>
        <w:pStyle w:val="afa"/>
        <w:spacing w:line="300" w:lineRule="exact"/>
        <w:ind w:firstLineChars="200" w:firstLine="480"/>
        <w:rPr>
          <w:rFonts w:ascii="微软雅黑" w:eastAsia="微软雅黑" w:hAnsi="微软雅黑" w:cs="宋体" w:hint="eastAsia"/>
          <w:sz w:val="24"/>
          <w:szCs w:val="24"/>
        </w:rPr>
      </w:pPr>
    </w:p>
    <w:p w:rsidR="00D1633E" w:rsidRPr="00007A1D" w:rsidRDefault="00D1633E" w:rsidP="00604B02">
      <w:pPr>
        <w:pStyle w:val="afa"/>
        <w:spacing w:line="300" w:lineRule="exact"/>
        <w:ind w:firstLineChars="200" w:firstLine="480"/>
        <w:rPr>
          <w:rFonts w:ascii="微软雅黑" w:eastAsia="微软雅黑" w:hAnsi="微软雅黑" w:cs="宋体"/>
          <w:b/>
          <w:bCs/>
          <w:color w:val="C00000"/>
          <w:sz w:val="24"/>
          <w:szCs w:val="24"/>
        </w:rPr>
      </w:pPr>
      <w:r w:rsidRPr="00007A1D">
        <w:rPr>
          <w:rFonts w:ascii="微软雅黑" w:eastAsia="微软雅黑" w:hAnsi="微软雅黑" w:cs="宋体" w:hint="eastAsia"/>
          <w:b/>
          <w:bCs/>
          <w:color w:val="C00000"/>
          <w:sz w:val="24"/>
          <w:szCs w:val="24"/>
        </w:rPr>
        <w:t>二、民事公益诉讼</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第十三条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在履行职责中发现破坏生态环境和资源保护，食品药品安全领域侵害众多消费者合法权益，侵害英雄烈士等的姓名、肖像、名誉、荣誉等损害社会公共利益的行为，拟提起公益诉讼的，应当依法公告，公告期间为三十日。</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公告期满，法律规定的机关和有关组织、英雄烈士等的近亲属不提起诉讼的，人民检察院可以向人民法院提起诉讼。</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人民检察院办理侵害英雄烈士等的姓名、肖像、名誉、荣誉的民事公益诉讼案件，也可以直接征询英雄烈士等的近亲属的意见。</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第十四条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人民检察院提起民事公益诉讼应当提交下列材料：</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lastRenderedPageBreak/>
        <w:t>（一）民事公益诉讼起诉书，并按照被告人数提出副本；</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（二）被告的行为已经损害社会公共利益的初步证明材料；</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（三）已经履行公告程序、征询英雄烈士等的近亲属意见的证明材料。</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第十五条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人民检察院依据民事诉讼法第五十五条第二款的规定提起民事公益诉讼，符合民事诉讼法第一百一十九条第二项、第三项、第四项及本解释规定的起诉条件的，人民法院应当登记立案。</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第十六条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人民检察院提起的民事公益诉讼案件中，被告以反诉方式提出诉讼请求的，人民法院不予受理。</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第十七条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人民法院受理人民检察院提起的民事公益诉讼案件后，应当在立案之日起五日内将起诉书副本送达被告。</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人民检察院已履行诉前公告程序的，人民法院立案后不再进行公告。</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第十八条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人民法院认为人民检察院提出的诉讼请求不足以保护社会公共利益的，可以</w:t>
      </w:r>
      <w:proofErr w:type="gramStart"/>
      <w:r w:rsidRPr="00604B02">
        <w:rPr>
          <w:rFonts w:ascii="微软雅黑" w:eastAsia="微软雅黑" w:hAnsi="微软雅黑" w:cs="宋体" w:hint="eastAsia"/>
          <w:sz w:val="24"/>
          <w:szCs w:val="24"/>
        </w:rPr>
        <w:t>向其释明</w:t>
      </w:r>
      <w:proofErr w:type="gramEnd"/>
      <w:r w:rsidRPr="00604B02">
        <w:rPr>
          <w:rFonts w:ascii="微软雅黑" w:eastAsia="微软雅黑" w:hAnsi="微软雅黑" w:cs="宋体" w:hint="eastAsia"/>
          <w:sz w:val="24"/>
          <w:szCs w:val="24"/>
        </w:rPr>
        <w:t>变更或者增加停止侵害、恢复原状等诉讼请求。</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第十九条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民事公益诉讼案件审理过程中，人民检察院诉讼请求全部实现而撤回起诉的，人民法院应予准许。</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对破坏生态环境和资源保护，食品药品安全领域侵害众多消费者合法权益，侵害英雄烈士等的姓名、肖像、名誉、荣誉等损害社会公共利益的犯罪行为提起刑事公诉时，可以向人民法院一并提起附带民事公益诉讼，由人民法院同一审判组织审理。</w:t>
      </w:r>
    </w:p>
    <w:p w:rsidR="00D1633E"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人民检察院提起的刑事附带民事公益诉讼案件由审理刑事案件的人民法院管辖。</w:t>
      </w:r>
    </w:p>
    <w:p w:rsidR="00007A1D" w:rsidRPr="00604B02" w:rsidRDefault="00007A1D" w:rsidP="00007A1D">
      <w:pPr>
        <w:pStyle w:val="afa"/>
        <w:spacing w:line="100" w:lineRule="exact"/>
        <w:ind w:firstLineChars="200" w:firstLine="480"/>
        <w:rPr>
          <w:rFonts w:ascii="微软雅黑" w:eastAsia="微软雅黑" w:hAnsi="微软雅黑" w:cs="宋体" w:hint="eastAsia"/>
          <w:sz w:val="24"/>
          <w:szCs w:val="24"/>
        </w:rPr>
      </w:pPr>
    </w:p>
    <w:p w:rsidR="00D1633E" w:rsidRPr="00007A1D" w:rsidRDefault="00D1633E" w:rsidP="00604B02">
      <w:pPr>
        <w:pStyle w:val="afa"/>
        <w:spacing w:line="300" w:lineRule="exact"/>
        <w:ind w:firstLineChars="200" w:firstLine="480"/>
        <w:rPr>
          <w:rFonts w:ascii="微软雅黑" w:eastAsia="微软雅黑" w:hAnsi="微软雅黑" w:cs="宋体"/>
          <w:b/>
          <w:bCs/>
          <w:color w:val="C00000"/>
          <w:sz w:val="24"/>
          <w:szCs w:val="24"/>
        </w:rPr>
      </w:pPr>
      <w:r w:rsidRPr="00007A1D">
        <w:rPr>
          <w:rFonts w:ascii="微软雅黑" w:eastAsia="微软雅黑" w:hAnsi="微软雅黑" w:cs="宋体" w:hint="eastAsia"/>
          <w:b/>
          <w:bCs/>
          <w:color w:val="C00000"/>
          <w:sz w:val="24"/>
          <w:szCs w:val="24"/>
        </w:rPr>
        <w:t>三、</w:t>
      </w:r>
      <w:proofErr w:type="gramStart"/>
      <w:r w:rsidRPr="00007A1D">
        <w:rPr>
          <w:rFonts w:ascii="微软雅黑" w:eastAsia="微软雅黑" w:hAnsi="微软雅黑" w:cs="宋体" w:hint="eastAsia"/>
          <w:b/>
          <w:bCs/>
          <w:color w:val="C00000"/>
          <w:sz w:val="24"/>
          <w:szCs w:val="24"/>
        </w:rPr>
        <w:t>行政公益</w:t>
      </w:r>
      <w:proofErr w:type="gramEnd"/>
      <w:r w:rsidRPr="00007A1D">
        <w:rPr>
          <w:rFonts w:ascii="微软雅黑" w:eastAsia="微软雅黑" w:hAnsi="微软雅黑" w:cs="宋体" w:hint="eastAsia"/>
          <w:b/>
          <w:bCs/>
          <w:color w:val="C00000"/>
          <w:sz w:val="24"/>
          <w:szCs w:val="24"/>
        </w:rPr>
        <w:t>诉讼</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第二十一条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行政机关应当在收到检察建议书之日起两个月内依法履行职责，并书面回复人民检察院。出现国家利益或者社会公共利益损害继续扩大等紧急情形的，行政机关应当在十五日内书面回复。</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行政机关不依法履行职责的，人民检察院依法向人民法院提起诉讼。</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第二十二条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人民检察院提起</w:t>
      </w:r>
      <w:proofErr w:type="gramStart"/>
      <w:r w:rsidRPr="00604B02">
        <w:rPr>
          <w:rFonts w:ascii="微软雅黑" w:eastAsia="微软雅黑" w:hAnsi="微软雅黑" w:cs="宋体" w:hint="eastAsia"/>
          <w:sz w:val="24"/>
          <w:szCs w:val="24"/>
        </w:rPr>
        <w:t>行政公益</w:t>
      </w:r>
      <w:proofErr w:type="gramEnd"/>
      <w:r w:rsidRPr="00604B02">
        <w:rPr>
          <w:rFonts w:ascii="微软雅黑" w:eastAsia="微软雅黑" w:hAnsi="微软雅黑" w:cs="宋体" w:hint="eastAsia"/>
          <w:sz w:val="24"/>
          <w:szCs w:val="24"/>
        </w:rPr>
        <w:t>诉讼应当提交下列材料：</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（一）</w:t>
      </w:r>
      <w:proofErr w:type="gramStart"/>
      <w:r w:rsidRPr="00604B02">
        <w:rPr>
          <w:rFonts w:ascii="微软雅黑" w:eastAsia="微软雅黑" w:hAnsi="微软雅黑" w:cs="宋体" w:hint="eastAsia"/>
          <w:sz w:val="24"/>
          <w:szCs w:val="24"/>
        </w:rPr>
        <w:t>行政公益</w:t>
      </w:r>
      <w:proofErr w:type="gramEnd"/>
      <w:r w:rsidRPr="00604B02">
        <w:rPr>
          <w:rFonts w:ascii="微软雅黑" w:eastAsia="微软雅黑" w:hAnsi="微软雅黑" w:cs="宋体" w:hint="eastAsia"/>
          <w:sz w:val="24"/>
          <w:szCs w:val="24"/>
        </w:rPr>
        <w:t>诉讼起诉书，并按照被告人数提出副本；</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（二）被告违法行使职权或者不作为，致使国家利益或者社会公共利益受到侵害的证明材料；</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（三）已经履行诉前程序，行政机关仍不依法履行职责或者纠正违法行为的证明材料。</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第二十三条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人民检察院依据行政诉讼法第二十五条第四款的规定提起</w:t>
      </w:r>
      <w:proofErr w:type="gramStart"/>
      <w:r w:rsidRPr="00604B02">
        <w:rPr>
          <w:rFonts w:ascii="微软雅黑" w:eastAsia="微软雅黑" w:hAnsi="微软雅黑" w:cs="宋体" w:hint="eastAsia"/>
          <w:sz w:val="24"/>
          <w:szCs w:val="24"/>
        </w:rPr>
        <w:t>行政公益</w:t>
      </w:r>
      <w:proofErr w:type="gramEnd"/>
      <w:r w:rsidRPr="00604B02">
        <w:rPr>
          <w:rFonts w:ascii="微软雅黑" w:eastAsia="微软雅黑" w:hAnsi="微软雅黑" w:cs="宋体" w:hint="eastAsia"/>
          <w:sz w:val="24"/>
          <w:szCs w:val="24"/>
        </w:rPr>
        <w:t>诉讼，符合行政诉讼法第四十九条第二项、第三项、第四项及本解释规定的起诉条件的，人民法院应当登记立案。</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第二十四条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在</w:t>
      </w:r>
      <w:proofErr w:type="gramStart"/>
      <w:r w:rsidRPr="00604B02">
        <w:rPr>
          <w:rFonts w:ascii="微软雅黑" w:eastAsia="微软雅黑" w:hAnsi="微软雅黑" w:cs="宋体" w:hint="eastAsia"/>
          <w:sz w:val="24"/>
          <w:szCs w:val="24"/>
        </w:rPr>
        <w:t>行政公益</w:t>
      </w:r>
      <w:proofErr w:type="gramEnd"/>
      <w:r w:rsidRPr="00604B02">
        <w:rPr>
          <w:rFonts w:ascii="微软雅黑" w:eastAsia="微软雅黑" w:hAnsi="微软雅黑" w:cs="宋体" w:hint="eastAsia"/>
          <w:sz w:val="24"/>
          <w:szCs w:val="24"/>
        </w:rPr>
        <w:t>诉讼案件审理过程中，被告纠正违法行为或者依法履行职责而使人民检察院的诉讼请求全部实现，人民检察院撤回起诉的，人民法院应当裁定准许；人民检察院变更诉讼请求，请求确认原行政行为违法的，人民法院应当判决确认违法。</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第二十五条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人民法院区分下列情形</w:t>
      </w:r>
      <w:proofErr w:type="gramStart"/>
      <w:r w:rsidRPr="00604B02">
        <w:rPr>
          <w:rFonts w:ascii="微软雅黑" w:eastAsia="微软雅黑" w:hAnsi="微软雅黑" w:cs="宋体" w:hint="eastAsia"/>
          <w:sz w:val="24"/>
          <w:szCs w:val="24"/>
        </w:rPr>
        <w:t>作出行政公益</w:t>
      </w:r>
      <w:proofErr w:type="gramEnd"/>
      <w:r w:rsidRPr="00604B02">
        <w:rPr>
          <w:rFonts w:ascii="微软雅黑" w:eastAsia="微软雅黑" w:hAnsi="微软雅黑" w:cs="宋体" w:hint="eastAsia"/>
          <w:sz w:val="24"/>
          <w:szCs w:val="24"/>
        </w:rPr>
        <w:t>诉讼判决：</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（一）被诉行政行为具有行政诉讼法第七十四条、第七十五条规定情形之一的，判决确认违法或者确认无效，并可以同时判决责令行政机关采取补救措施；</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（二）被诉行政行为具有行政诉讼法第七十条规定情形之一的，判决撤销或者部分撤销，并可以判决被诉行政机关重新</w:t>
      </w:r>
      <w:proofErr w:type="gramStart"/>
      <w:r w:rsidRPr="00604B02">
        <w:rPr>
          <w:rFonts w:ascii="微软雅黑" w:eastAsia="微软雅黑" w:hAnsi="微软雅黑" w:cs="宋体" w:hint="eastAsia"/>
          <w:sz w:val="24"/>
          <w:szCs w:val="24"/>
        </w:rPr>
        <w:t>作出</w:t>
      </w:r>
      <w:proofErr w:type="gramEnd"/>
      <w:r w:rsidRPr="00604B02">
        <w:rPr>
          <w:rFonts w:ascii="微软雅黑" w:eastAsia="微软雅黑" w:hAnsi="微软雅黑" w:cs="宋体" w:hint="eastAsia"/>
          <w:sz w:val="24"/>
          <w:szCs w:val="24"/>
        </w:rPr>
        <w:t>行政行为；</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（三）被诉行政机关不履行法定职责的，判决在一定期限内履行；</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（四）被诉行政机关</w:t>
      </w:r>
      <w:proofErr w:type="gramStart"/>
      <w:r w:rsidRPr="00604B02">
        <w:rPr>
          <w:rFonts w:ascii="微软雅黑" w:eastAsia="微软雅黑" w:hAnsi="微软雅黑" w:cs="宋体" w:hint="eastAsia"/>
          <w:sz w:val="24"/>
          <w:szCs w:val="24"/>
        </w:rPr>
        <w:t>作出</w:t>
      </w:r>
      <w:proofErr w:type="gramEnd"/>
      <w:r w:rsidRPr="00604B02">
        <w:rPr>
          <w:rFonts w:ascii="微软雅黑" w:eastAsia="微软雅黑" w:hAnsi="微软雅黑" w:cs="宋体" w:hint="eastAsia"/>
          <w:sz w:val="24"/>
          <w:szCs w:val="24"/>
        </w:rPr>
        <w:t>的行政处罚明显不当，或者其他行政行为涉及对款额的确定、认定确有错误的，可以判决予以变更；</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（五）被诉行政行为证据确凿，适用法律、法规正确，符合法定程序，未超越职权，未滥用职权，无明显不当，或者人民检察院诉请被诉行政机关履行法定职责理由不成立的，判决驳回诉讼请求。</w:t>
      </w:r>
    </w:p>
    <w:p w:rsidR="00D1633E"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人民法院可以将判决结果告知被诉行政机关所属的人民政府或者其他相关的职能部门。</w:t>
      </w:r>
    </w:p>
    <w:p w:rsidR="00007A1D" w:rsidRPr="00604B02" w:rsidRDefault="00007A1D" w:rsidP="00007A1D">
      <w:pPr>
        <w:pStyle w:val="afa"/>
        <w:spacing w:line="100" w:lineRule="exact"/>
        <w:ind w:firstLineChars="200" w:firstLine="480"/>
        <w:rPr>
          <w:rFonts w:ascii="微软雅黑" w:eastAsia="微软雅黑" w:hAnsi="微软雅黑" w:cs="宋体" w:hint="eastAsia"/>
          <w:sz w:val="24"/>
          <w:szCs w:val="24"/>
        </w:rPr>
      </w:pPr>
      <w:bookmarkStart w:id="0" w:name="_GoBack"/>
      <w:bookmarkEnd w:id="0"/>
    </w:p>
    <w:p w:rsidR="00D1633E" w:rsidRPr="00007A1D" w:rsidRDefault="00D1633E" w:rsidP="00604B02">
      <w:pPr>
        <w:pStyle w:val="afa"/>
        <w:spacing w:line="300" w:lineRule="exact"/>
        <w:ind w:firstLineChars="200" w:firstLine="480"/>
        <w:rPr>
          <w:rFonts w:ascii="微软雅黑" w:eastAsia="微软雅黑" w:hAnsi="微软雅黑" w:cs="宋体"/>
          <w:b/>
          <w:bCs/>
          <w:color w:val="C00000"/>
          <w:sz w:val="24"/>
          <w:szCs w:val="24"/>
        </w:rPr>
      </w:pPr>
      <w:r w:rsidRPr="00007A1D">
        <w:rPr>
          <w:rFonts w:ascii="微软雅黑" w:eastAsia="微软雅黑" w:hAnsi="微软雅黑" w:cs="宋体" w:hint="eastAsia"/>
          <w:b/>
          <w:bCs/>
          <w:color w:val="C00000"/>
          <w:sz w:val="24"/>
          <w:szCs w:val="24"/>
        </w:rPr>
        <w:t>四、附则</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第二十六条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本解释未规定的其他事项，适用民事诉讼法、行政诉讼法以及相关司法解释的规定。</w:t>
      </w:r>
    </w:p>
    <w:p w:rsidR="00D1633E" w:rsidRPr="00604B02" w:rsidRDefault="00D1633E" w:rsidP="00604B02">
      <w:pPr>
        <w:pStyle w:val="afa"/>
        <w:spacing w:line="300" w:lineRule="exact"/>
        <w:ind w:firstLineChars="200" w:firstLine="480"/>
        <w:rPr>
          <w:rFonts w:ascii="微软雅黑" w:eastAsia="微软雅黑" w:hAnsi="微软雅黑" w:cs="宋体"/>
          <w:sz w:val="24"/>
          <w:szCs w:val="24"/>
        </w:rPr>
      </w:pPr>
      <w:r w:rsidRPr="00007A1D">
        <w:rPr>
          <w:rFonts w:ascii="微软雅黑" w:eastAsia="微软雅黑" w:hAnsi="微软雅黑" w:cs="宋体" w:hint="eastAsia"/>
          <w:b/>
          <w:bCs/>
          <w:sz w:val="24"/>
          <w:szCs w:val="24"/>
        </w:rPr>
        <w:t>第二十七条</w:t>
      </w:r>
      <w:r w:rsidRPr="00604B02">
        <w:rPr>
          <w:rFonts w:ascii="微软雅黑" w:eastAsia="微软雅黑" w:hAnsi="微软雅黑" w:cs="宋体"/>
          <w:sz w:val="24"/>
          <w:szCs w:val="24"/>
        </w:rPr>
        <w:t xml:space="preserve">　</w:t>
      </w:r>
      <w:r w:rsidRPr="00604B02">
        <w:rPr>
          <w:rFonts w:ascii="微软雅黑" w:eastAsia="微软雅黑" w:hAnsi="微软雅黑" w:cs="宋体" w:hint="eastAsia"/>
          <w:sz w:val="24"/>
          <w:szCs w:val="24"/>
        </w:rPr>
        <w:t>本</w:t>
      </w:r>
      <w:proofErr w:type="gramStart"/>
      <w:r w:rsidRPr="00604B02">
        <w:rPr>
          <w:rFonts w:ascii="微软雅黑" w:eastAsia="微软雅黑" w:hAnsi="微软雅黑" w:cs="宋体" w:hint="eastAsia"/>
          <w:sz w:val="24"/>
          <w:szCs w:val="24"/>
        </w:rPr>
        <w:t>解释自</w:t>
      </w:r>
      <w:proofErr w:type="gramEnd"/>
      <w:r w:rsidRPr="00604B02">
        <w:rPr>
          <w:rFonts w:ascii="微软雅黑" w:eastAsia="微软雅黑" w:hAnsi="微软雅黑" w:cs="宋体" w:hint="eastAsia"/>
          <w:sz w:val="24"/>
          <w:szCs w:val="24"/>
        </w:rPr>
        <w:t>2018年3月2日起施行。</w:t>
      </w:r>
    </w:p>
    <w:p w:rsidR="003B2256" w:rsidRPr="00604B02" w:rsidRDefault="00D1633E" w:rsidP="00604B02">
      <w:pPr>
        <w:pStyle w:val="afa"/>
        <w:spacing w:line="300" w:lineRule="exact"/>
        <w:ind w:firstLineChars="200" w:firstLine="480"/>
        <w:rPr>
          <w:rFonts w:ascii="微软雅黑" w:eastAsia="微软雅黑" w:hAnsi="微软雅黑" w:cs="宋体"/>
          <w:sz w:val="24"/>
          <w:szCs w:val="24"/>
        </w:rPr>
      </w:pPr>
      <w:r w:rsidRPr="00604B02">
        <w:rPr>
          <w:rFonts w:ascii="微软雅黑" w:eastAsia="微软雅黑" w:hAnsi="微软雅黑" w:cs="宋体" w:hint="eastAsia"/>
          <w:sz w:val="24"/>
          <w:szCs w:val="24"/>
        </w:rPr>
        <w:t>最高人民法院、最高人民检察院之前发布的司法解释和规范性文件与本解释不一致的，以本解释为准。</w:t>
      </w:r>
    </w:p>
    <w:sectPr w:rsidR="003B2256" w:rsidRPr="00604B02" w:rsidSect="00007A1D">
      <w:footerReference w:type="even" r:id="rId7"/>
      <w:footerReference w:type="default" r:id="rId8"/>
      <w:pgSz w:w="11906" w:h="16838"/>
      <w:pgMar w:top="567" w:right="720" w:bottom="567"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E7F" w:rsidRDefault="003F0E7F" w:rsidP="003B2256">
      <w:r>
        <w:separator/>
      </w:r>
    </w:p>
  </w:endnote>
  <w:endnote w:type="continuationSeparator" w:id="0">
    <w:p w:rsidR="003F0E7F" w:rsidRDefault="003F0E7F"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3F0E7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EF572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F5726">
                  <w:rPr>
                    <w:rFonts w:ascii="宋体" w:hAnsi="宋体" w:cs="宋体" w:hint="eastAsia"/>
                    <w:sz w:val="28"/>
                    <w:szCs w:val="28"/>
                  </w:rPr>
                  <w:fldChar w:fldCharType="separate"/>
                </w:r>
                <w:r w:rsidR="00143413">
                  <w:rPr>
                    <w:rFonts w:ascii="宋体" w:hAnsi="宋体" w:cs="宋体"/>
                    <w:noProof/>
                    <w:sz w:val="28"/>
                    <w:szCs w:val="28"/>
                  </w:rPr>
                  <w:t>2</w:t>
                </w:r>
                <w:r w:rsidR="00EF572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3F0E7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F572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F5726">
                  <w:rPr>
                    <w:rFonts w:ascii="宋体" w:hAnsi="宋体" w:cs="宋体" w:hint="eastAsia"/>
                    <w:sz w:val="28"/>
                    <w:szCs w:val="28"/>
                  </w:rPr>
                  <w:fldChar w:fldCharType="separate"/>
                </w:r>
                <w:r w:rsidR="00D1633E">
                  <w:rPr>
                    <w:rFonts w:ascii="宋体" w:hAnsi="宋体" w:cs="宋体"/>
                    <w:noProof/>
                    <w:sz w:val="28"/>
                    <w:szCs w:val="28"/>
                  </w:rPr>
                  <w:t>1</w:t>
                </w:r>
                <w:r w:rsidR="00EF572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E7F" w:rsidRDefault="003F0E7F" w:rsidP="003B2256">
      <w:r>
        <w:separator/>
      </w:r>
    </w:p>
  </w:footnote>
  <w:footnote w:type="continuationSeparator" w:id="0">
    <w:p w:rsidR="003F0E7F" w:rsidRDefault="003F0E7F"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07A1D"/>
    <w:rsid w:val="00143413"/>
    <w:rsid w:val="00290080"/>
    <w:rsid w:val="00323D76"/>
    <w:rsid w:val="003B2256"/>
    <w:rsid w:val="003F0E7F"/>
    <w:rsid w:val="004064E8"/>
    <w:rsid w:val="004319CD"/>
    <w:rsid w:val="00554EB8"/>
    <w:rsid w:val="00604B02"/>
    <w:rsid w:val="0064282F"/>
    <w:rsid w:val="00690873"/>
    <w:rsid w:val="007630C3"/>
    <w:rsid w:val="00793835"/>
    <w:rsid w:val="007B0DAB"/>
    <w:rsid w:val="00803A63"/>
    <w:rsid w:val="00872005"/>
    <w:rsid w:val="00984D89"/>
    <w:rsid w:val="009969A5"/>
    <w:rsid w:val="009E1211"/>
    <w:rsid w:val="00CF39F7"/>
    <w:rsid w:val="00D1633E"/>
    <w:rsid w:val="00D619CC"/>
    <w:rsid w:val="00D771C4"/>
    <w:rsid w:val="00DD58FE"/>
    <w:rsid w:val="00EF5726"/>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D90429"/>
  <w15:docId w15:val="{104E265D-E646-4D77-B270-7998E41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qFormat/>
    <w:rsid w:val="00DD58F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2</Pages>
  <Words>452</Words>
  <Characters>2581</Characters>
  <Application>Microsoft Office Word</Application>
  <DocSecurity>0</DocSecurity>
  <Lines>21</Lines>
  <Paragraphs>6</Paragraphs>
  <ScaleCrop>false</ScaleCrop>
  <Company>Newdaxie</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2025-09-02T05:56:00Z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